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1F" w:rsidRPr="00407B33" w:rsidRDefault="005C29BE" w:rsidP="00407B33">
      <w:pPr>
        <w:shd w:val="clear" w:color="auto" w:fill="C5E0B3" w:themeFill="accent6" w:themeFillTint="66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3D1A99DF" wp14:editId="408DC7B8">
            <wp:extent cx="1231900" cy="410169"/>
            <wp:effectExtent l="0" t="0" r="6350" b="9525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02" cy="4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34C1F">
        <w:rPr>
          <w:noProof/>
          <w:lang w:eastAsia="fr-FR"/>
        </w:rPr>
        <w:drawing>
          <wp:inline distT="0" distB="0" distL="0" distR="0" wp14:anchorId="28E48105" wp14:editId="61367049">
            <wp:extent cx="1219200" cy="417317"/>
            <wp:effectExtent l="0" t="0" r="0" b="190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27" cy="43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34C1F">
        <w:rPr>
          <w:rFonts w:ascii="Arial" w:hAnsi="Arial" w:cs="Arial"/>
          <w:noProof/>
          <w:color w:val="000000"/>
          <w:sz w:val="21"/>
          <w:szCs w:val="21"/>
          <w:lang w:eastAsia="fr-FR"/>
        </w:rPr>
        <w:drawing>
          <wp:inline distT="0" distB="0" distL="0" distR="0" wp14:anchorId="26A98D65" wp14:editId="51A2250C">
            <wp:extent cx="1003300" cy="428132"/>
            <wp:effectExtent l="0" t="0" r="6350" b="0"/>
            <wp:docPr id="1" name="Image 1" descr="cid:86A6D4A5-F8B0-42E9-B650-641BB224F8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86A6D4A5-F8B0-42E9-B650-641BB224F8C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60" cy="4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8AE">
        <w:rPr>
          <w:noProof/>
          <w:lang w:eastAsia="fr-FR"/>
        </w:rPr>
        <w:drawing>
          <wp:inline distT="0" distB="0" distL="0" distR="0" wp14:anchorId="4CF24BF6" wp14:editId="0658F0E4">
            <wp:extent cx="1117446" cy="49974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845" cy="5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DDD" w:rsidRDefault="00EF2DDD" w:rsidP="009E521A">
      <w:pPr>
        <w:shd w:val="clear" w:color="auto" w:fill="C5E0B3" w:themeFill="accent6" w:themeFillTint="66"/>
        <w:spacing w:after="0" w:line="240" w:lineRule="auto"/>
        <w:jc w:val="center"/>
        <w:rPr>
          <w:b/>
          <w:sz w:val="32"/>
          <w:szCs w:val="32"/>
        </w:rPr>
      </w:pPr>
      <w:r w:rsidRPr="00EF2DDD">
        <w:rPr>
          <w:b/>
          <w:sz w:val="32"/>
          <w:szCs w:val="32"/>
        </w:rPr>
        <w:t>Les Cellules de Situations Complexes</w:t>
      </w:r>
    </w:p>
    <w:p w:rsidR="009E521A" w:rsidRPr="00EF2DDD" w:rsidRDefault="009E521A" w:rsidP="009E521A">
      <w:pPr>
        <w:shd w:val="clear" w:color="auto" w:fill="C5E0B3" w:themeFill="accent6" w:themeFillTint="66"/>
        <w:spacing w:after="0" w:line="240" w:lineRule="auto"/>
        <w:jc w:val="center"/>
        <w:rPr>
          <w:b/>
          <w:sz w:val="32"/>
          <w:szCs w:val="32"/>
        </w:rPr>
      </w:pPr>
    </w:p>
    <w:p w:rsidR="002914DE" w:rsidRDefault="00EF2DDD" w:rsidP="009E521A">
      <w:pPr>
        <w:shd w:val="clear" w:color="auto" w:fill="C5E0B3" w:themeFill="accent6" w:themeFillTint="66"/>
        <w:spacing w:after="0" w:line="240" w:lineRule="auto"/>
        <w:jc w:val="center"/>
        <w:rPr>
          <w:i/>
        </w:rPr>
      </w:pPr>
      <w:r w:rsidRPr="00EF2DDD">
        <w:rPr>
          <w:i/>
        </w:rPr>
        <w:t>Un outil au service des professionnels pour le bénéfice des personnes</w:t>
      </w:r>
      <w:r w:rsidR="00334C1F">
        <w:rPr>
          <w:i/>
        </w:rPr>
        <w:t xml:space="preserve"> accompagnées</w:t>
      </w:r>
    </w:p>
    <w:p w:rsidR="009E521A" w:rsidRPr="00EF2DDD" w:rsidRDefault="009E521A" w:rsidP="009E521A">
      <w:pPr>
        <w:shd w:val="clear" w:color="auto" w:fill="C5E0B3" w:themeFill="accent6" w:themeFillTint="66"/>
        <w:spacing w:after="0" w:line="240" w:lineRule="auto"/>
        <w:jc w:val="center"/>
        <w:rPr>
          <w:i/>
        </w:rPr>
      </w:pPr>
    </w:p>
    <w:p w:rsidR="0007446E" w:rsidRDefault="00DF71C5" w:rsidP="009E521A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 w:rsidRPr="0007446E">
        <w:rPr>
          <w:b/>
        </w:rPr>
        <w:t xml:space="preserve">Les Cellules de Situations Complexes répondent aux besoins des professionnels du soin, du social, du médico-social, de l’habitat, de la justice, des associations </w:t>
      </w:r>
      <w:r w:rsidR="00EA2930">
        <w:rPr>
          <w:b/>
        </w:rPr>
        <w:t xml:space="preserve">de représentants </w:t>
      </w:r>
      <w:r w:rsidRPr="0007446E">
        <w:rPr>
          <w:b/>
        </w:rPr>
        <w:t>d’usagers</w:t>
      </w:r>
      <w:r w:rsidR="00EA2930">
        <w:rPr>
          <w:b/>
        </w:rPr>
        <w:t xml:space="preserve"> </w:t>
      </w:r>
      <w:r w:rsidRPr="0007446E">
        <w:rPr>
          <w:b/>
        </w:rPr>
        <w:t>– et de tous les partenaires qui agissent pour le mieux-être des personnes en souffrance psychique.</w:t>
      </w:r>
    </w:p>
    <w:p w:rsidR="009E521A" w:rsidRPr="00407B33" w:rsidRDefault="009E521A" w:rsidP="009E521A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07446E" w:rsidRPr="0007446E" w:rsidRDefault="0007446E" w:rsidP="009E521A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 w:rsidRPr="0007446E">
        <w:rPr>
          <w:b/>
        </w:rPr>
        <w:t>En quoi consistent-elles ?</w:t>
      </w:r>
    </w:p>
    <w:p w:rsidR="009372D9" w:rsidRDefault="0007446E" w:rsidP="009E521A">
      <w:pPr>
        <w:shd w:val="clear" w:color="auto" w:fill="C5E0B3" w:themeFill="accent6" w:themeFillTint="66"/>
        <w:spacing w:after="0" w:line="240" w:lineRule="auto"/>
        <w:jc w:val="both"/>
      </w:pPr>
      <w:r>
        <w:t>C’est la mise en œuvre d’un dispositif coopératif organisé autour d’</w:t>
      </w:r>
      <w:r w:rsidR="00495AAF">
        <w:t>une commission</w:t>
      </w:r>
      <w:r>
        <w:t xml:space="preserve"> </w:t>
      </w:r>
      <w:r w:rsidR="00495AAF">
        <w:t xml:space="preserve">de </w:t>
      </w:r>
      <w:r>
        <w:t>représentants de différents champs professionnels.</w:t>
      </w:r>
      <w:r w:rsidRPr="0007446E">
        <w:t xml:space="preserve"> </w:t>
      </w:r>
      <w:r w:rsidR="00CC5AED">
        <w:t>C</w:t>
      </w:r>
      <w:r w:rsidR="00695EE6">
        <w:t>ett</w:t>
      </w:r>
      <w:r w:rsidR="00CC5AED">
        <w:t>e « </w:t>
      </w:r>
      <w:r w:rsidR="00695EE6">
        <w:t>commission</w:t>
      </w:r>
      <w:r w:rsidR="00CC5AED">
        <w:t xml:space="preserve"> technique » entre en action suite à la demande d’un professionnel.</w:t>
      </w:r>
      <w:r w:rsidR="009372D9" w:rsidRPr="009372D9">
        <w:t xml:space="preserve"> </w:t>
      </w:r>
    </w:p>
    <w:p w:rsidR="009372D9" w:rsidRDefault="009372D9" w:rsidP="009E521A">
      <w:pPr>
        <w:shd w:val="clear" w:color="auto" w:fill="C5E0B3" w:themeFill="accent6" w:themeFillTint="66"/>
        <w:spacing w:after="0" w:line="240" w:lineRule="auto"/>
        <w:jc w:val="both"/>
      </w:pPr>
      <w:r>
        <w:t>Les Cellules de Situations Complexes sont composées :</w:t>
      </w:r>
    </w:p>
    <w:p w:rsidR="009372D9" w:rsidRDefault="009372D9" w:rsidP="009E521A">
      <w:pPr>
        <w:pStyle w:val="Paragraphedeliste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</w:pPr>
      <w:r>
        <w:t>« Commission technique » à visée d’opérationnalité. Il s’agit d’étudier des situations dans lesquelles la santé mentale semble constituer un aspect prépondérant - et pour lesquelles ils sollicitent une instance pluridisciplinaire qui permette d’apporter des propositions de pistes d’action. Il s’agit d’apporter un soutien dans la construction de pistes de travail concertées et décloisonnées.</w:t>
      </w:r>
    </w:p>
    <w:p w:rsidR="0007446E" w:rsidRDefault="00FE7342" w:rsidP="009E521A">
      <w:pPr>
        <w:pStyle w:val="Paragraphedeliste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jc w:val="both"/>
      </w:pPr>
      <w:r>
        <w:t>« Rencontre</w:t>
      </w:r>
      <w:r w:rsidR="009372D9">
        <w:t xml:space="preserve"> Réseau Actif » à visée de transculturalité : Connaissance des acteurs, des dispositifs, des leviers d’action et formation commune.</w:t>
      </w:r>
    </w:p>
    <w:p w:rsidR="0007446E" w:rsidRDefault="0007446E" w:rsidP="009E521A">
      <w:pPr>
        <w:shd w:val="clear" w:color="auto" w:fill="C5E0B3" w:themeFill="accent6" w:themeFillTint="66"/>
        <w:spacing w:after="0" w:line="240" w:lineRule="auto"/>
        <w:jc w:val="center"/>
      </w:pPr>
      <w:r>
        <w:t>-----------</w:t>
      </w:r>
    </w:p>
    <w:p w:rsidR="00397F43" w:rsidRDefault="0007446E" w:rsidP="009E521A">
      <w:pPr>
        <w:shd w:val="clear" w:color="auto" w:fill="C5E0B3" w:themeFill="accent6" w:themeFillTint="66"/>
        <w:spacing w:after="0" w:line="240" w:lineRule="auto"/>
        <w:jc w:val="both"/>
      </w:pPr>
      <w:r>
        <w:t xml:space="preserve">Les cellules de Situations Complexes </w:t>
      </w:r>
      <w:r w:rsidR="00334C1F">
        <w:t>s’inscrivent au sein d’un territoire</w:t>
      </w:r>
      <w:r w:rsidR="00F14EC1">
        <w:t xml:space="preserve"> en lien avec le sect</w:t>
      </w:r>
      <w:r w:rsidR="009372D9">
        <w:t>eur de Psychiatrie</w:t>
      </w:r>
      <w:r w:rsidR="00F14EC1">
        <w:t>.</w:t>
      </w:r>
      <w:r w:rsidR="00334C1F">
        <w:t xml:space="preserve"> Elles recon</w:t>
      </w:r>
      <w:r w:rsidR="00DF71C5">
        <w:t>naissent l’</w:t>
      </w:r>
      <w:r w:rsidR="00D76B20">
        <w:t xml:space="preserve">importance – pour tous les professionnels </w:t>
      </w:r>
      <w:r w:rsidR="00334C1F">
        <w:t>impliqués dans l’</w:t>
      </w:r>
      <w:r w:rsidR="00D76B20">
        <w:t>accompagnement - de pouvoir se situer dans un réseau cohérent d’interlocuteurs complémentaires</w:t>
      </w:r>
      <w:r w:rsidR="009372D9">
        <w:t xml:space="preserve"> et coordonnés.</w:t>
      </w:r>
    </w:p>
    <w:p w:rsidR="00D9377B" w:rsidRDefault="00397F43" w:rsidP="009E521A">
      <w:pPr>
        <w:shd w:val="clear" w:color="auto" w:fill="C5E0B3" w:themeFill="accent6" w:themeFillTint="66"/>
        <w:spacing w:after="0" w:line="240" w:lineRule="auto"/>
        <w:jc w:val="both"/>
      </w:pPr>
      <w:r>
        <w:t>Elles s’inscrivent dans le déploiement de logiques de parcours</w:t>
      </w:r>
      <w:r w:rsidR="009372D9">
        <w:t>.</w:t>
      </w:r>
      <w:r w:rsidR="001C16A3">
        <w:t xml:space="preserve"> </w:t>
      </w:r>
      <w:r w:rsidR="009372D9">
        <w:t xml:space="preserve"> </w:t>
      </w:r>
    </w:p>
    <w:p w:rsidR="009E521A" w:rsidRDefault="009E521A" w:rsidP="009E521A">
      <w:pPr>
        <w:shd w:val="clear" w:color="auto" w:fill="FFFFFF" w:themeFill="background1"/>
        <w:spacing w:after="0" w:line="240" w:lineRule="auto"/>
        <w:jc w:val="both"/>
      </w:pPr>
    </w:p>
    <w:p w:rsidR="00D66E84" w:rsidRPr="00960248" w:rsidRDefault="00D66E84" w:rsidP="009E521A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 w:rsidRPr="00960248">
        <w:rPr>
          <w:b/>
        </w:rPr>
        <w:t>Pour quels types de situations puis-je solliciter le dispositif Cellule de Situation</w:t>
      </w:r>
      <w:r w:rsidR="00C134F4">
        <w:rPr>
          <w:b/>
        </w:rPr>
        <w:t>s</w:t>
      </w:r>
      <w:r w:rsidRPr="00960248">
        <w:rPr>
          <w:b/>
        </w:rPr>
        <w:t xml:space="preserve"> Complexes ?</w:t>
      </w:r>
    </w:p>
    <w:p w:rsidR="00EA2930" w:rsidRDefault="00EA2930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t>Suspicion de trouble psychique ou troubles avérés pouvant expliquer en partie les difficultés que la personne rencontre,</w:t>
      </w:r>
    </w:p>
    <w:p w:rsidR="00960248" w:rsidRDefault="00960248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t>Situation qui concentre des difficultés de différents registres (soins, transport, insertion, ordre public…),</w:t>
      </w:r>
    </w:p>
    <w:p w:rsidR="00960248" w:rsidRDefault="00960248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lastRenderedPageBreak/>
        <w:t>Situation qui met en échec le fonctionnement habituel de travail entre les partenaires,</w:t>
      </w:r>
    </w:p>
    <w:p w:rsidR="00DB12CB" w:rsidRDefault="00960248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t>Situation qui fait blocage par les canaux habituels du droit commun</w:t>
      </w:r>
      <w:r w:rsidR="00DB12CB">
        <w:t>.</w:t>
      </w:r>
    </w:p>
    <w:p w:rsidR="009E521A" w:rsidRDefault="009E521A" w:rsidP="009E521A">
      <w:pPr>
        <w:pStyle w:val="Paragraphedeliste"/>
        <w:shd w:val="clear" w:color="auto" w:fill="FFFFFF" w:themeFill="background1"/>
        <w:spacing w:after="0" w:line="240" w:lineRule="auto"/>
        <w:jc w:val="both"/>
      </w:pPr>
    </w:p>
    <w:p w:rsidR="00C134F4" w:rsidRPr="00DB12CB" w:rsidRDefault="00C134F4" w:rsidP="009E521A">
      <w:pPr>
        <w:shd w:val="clear" w:color="auto" w:fill="C5E0B3" w:themeFill="accent6" w:themeFillTint="66"/>
        <w:spacing w:after="0" w:line="240" w:lineRule="auto"/>
        <w:jc w:val="both"/>
      </w:pPr>
      <w:r w:rsidRPr="00DB12CB">
        <w:rPr>
          <w:b/>
        </w:rPr>
        <w:t>Comment solliciter le dispositif Cellule de Situations Complexes ?</w:t>
      </w:r>
    </w:p>
    <w:p w:rsidR="009E521A" w:rsidRDefault="00C134F4" w:rsidP="009E521A">
      <w:pPr>
        <w:shd w:val="clear" w:color="auto" w:fill="C5E0B3" w:themeFill="accent6" w:themeFillTint="66"/>
        <w:spacing w:after="0" w:line="240" w:lineRule="auto"/>
        <w:jc w:val="both"/>
      </w:pPr>
      <w:r>
        <w:t>En remplissant une feuille de saisine</w:t>
      </w:r>
      <w:r w:rsidR="00DB12CB">
        <w:t> :</w:t>
      </w:r>
      <w:r w:rsidR="00F14EC1">
        <w:t xml:space="preserve"> disponible sur le site du CHN ou en</w:t>
      </w:r>
      <w:r>
        <w:t xml:space="preserve"> contacta</w:t>
      </w:r>
      <w:r w:rsidR="007C0342">
        <w:t>nt</w:t>
      </w:r>
      <w:r w:rsidR="003E4D08">
        <w:t xml:space="preserve"> le Psychologue Coordonnateur.</w:t>
      </w:r>
    </w:p>
    <w:p w:rsidR="009E521A" w:rsidRDefault="009E521A" w:rsidP="009E521A">
      <w:pPr>
        <w:shd w:val="clear" w:color="auto" w:fill="FFFFFF" w:themeFill="background1"/>
        <w:spacing w:after="0" w:line="240" w:lineRule="auto"/>
        <w:jc w:val="both"/>
      </w:pPr>
    </w:p>
    <w:p w:rsidR="009E521A" w:rsidRDefault="00DB12CB" w:rsidP="009E521A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>
        <w:rPr>
          <w:b/>
        </w:rPr>
        <w:t xml:space="preserve">Qui compose les </w:t>
      </w:r>
      <w:r w:rsidR="00E5446F" w:rsidRPr="00E5446F">
        <w:rPr>
          <w:b/>
        </w:rPr>
        <w:t>Cellule</w:t>
      </w:r>
      <w:r>
        <w:rPr>
          <w:b/>
        </w:rPr>
        <w:t>s</w:t>
      </w:r>
      <w:r w:rsidR="00E5446F" w:rsidRPr="00E5446F">
        <w:rPr>
          <w:b/>
        </w:rPr>
        <w:t xml:space="preserve"> de Situations Complexes ?</w:t>
      </w:r>
    </w:p>
    <w:p w:rsidR="00E5446F" w:rsidRPr="009E521A" w:rsidRDefault="00E5446F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  <w:rPr>
          <w:b/>
        </w:rPr>
      </w:pPr>
      <w:r>
        <w:t>Les membres permanents</w:t>
      </w:r>
      <w:r w:rsidR="007C0342">
        <w:t> :</w:t>
      </w:r>
      <w:r w:rsidR="003E4D08">
        <w:t xml:space="preserve"> C’est une équipe de professionnels-experts représentant les différents champs d’intervention impliqués de façon régulière dans la recherche et la mise en œuvre de solutions sur le territoire concerné.</w:t>
      </w:r>
    </w:p>
    <w:p w:rsidR="003E4D08" w:rsidRDefault="007C0342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t>Les membres invités :</w:t>
      </w:r>
      <w:r w:rsidR="003E4D08">
        <w:t xml:space="preserve"> Ce sont les professionnels invités en fonction des caractéristiques propres aux situations présenté</w:t>
      </w:r>
      <w:r w:rsidR="00FE7342">
        <w:t>e</w:t>
      </w:r>
      <w:r w:rsidR="003E4D08">
        <w:t>s.</w:t>
      </w:r>
      <w:r w:rsidR="00763A19">
        <w:t xml:space="preserve"> </w:t>
      </w:r>
    </w:p>
    <w:p w:rsidR="007318A1" w:rsidRDefault="00DB12CB" w:rsidP="009E521A">
      <w:pPr>
        <w:pStyle w:val="Paragraphedeliste"/>
        <w:numPr>
          <w:ilvl w:val="0"/>
          <w:numId w:val="1"/>
        </w:numPr>
        <w:shd w:val="clear" w:color="auto" w:fill="C5E0B3" w:themeFill="accent6" w:themeFillTint="66"/>
        <w:spacing w:after="0" w:line="240" w:lineRule="auto"/>
        <w:jc w:val="both"/>
      </w:pPr>
      <w:r>
        <w:t>L</w:t>
      </w:r>
      <w:r w:rsidR="003E4D08">
        <w:t xml:space="preserve">e professionnel demandeur : De préférence le professionnel ayant rédigé la feuille de saisine. </w:t>
      </w:r>
      <w:r w:rsidR="008074AA">
        <w:t>Il peut être accompagné d’autres professionnels intervenant dans la situation et peut proposer la participation d’autres intervenants pour lesquels il estime l’intervention nécessaire.</w:t>
      </w:r>
    </w:p>
    <w:p w:rsidR="00763A19" w:rsidRPr="00763A19" w:rsidRDefault="00763A19" w:rsidP="009E521A">
      <w:pPr>
        <w:pStyle w:val="Paragraphedeliste"/>
        <w:shd w:val="clear" w:color="auto" w:fill="FFFFFF" w:themeFill="background1"/>
        <w:spacing w:after="0" w:line="240" w:lineRule="auto"/>
        <w:jc w:val="both"/>
      </w:pPr>
    </w:p>
    <w:p w:rsidR="007C0342" w:rsidRPr="007C0342" w:rsidRDefault="007C0342" w:rsidP="009E521A">
      <w:pPr>
        <w:shd w:val="clear" w:color="auto" w:fill="C5E0B3" w:themeFill="accent6" w:themeFillTint="66"/>
        <w:spacing w:after="0" w:line="240" w:lineRule="auto"/>
        <w:jc w:val="both"/>
        <w:rPr>
          <w:b/>
        </w:rPr>
      </w:pPr>
      <w:r w:rsidRPr="007C0342">
        <w:rPr>
          <w:b/>
        </w:rPr>
        <w:t>Qui anime la Cellule de Situations Complexes ?</w:t>
      </w:r>
    </w:p>
    <w:p w:rsidR="00DB12CB" w:rsidRDefault="007C0342" w:rsidP="009E521A">
      <w:pPr>
        <w:shd w:val="clear" w:color="auto" w:fill="C5E0B3" w:themeFill="accent6" w:themeFillTint="66"/>
        <w:spacing w:after="0" w:line="240" w:lineRule="auto"/>
        <w:jc w:val="both"/>
      </w:pPr>
      <w:r>
        <w:t xml:space="preserve">L’animation est assurée par </w:t>
      </w:r>
      <w:r w:rsidR="00407B33">
        <w:t>des</w:t>
      </w:r>
      <w:r w:rsidR="00DB12CB">
        <w:t xml:space="preserve"> Psychologue</w:t>
      </w:r>
      <w:r w:rsidR="00407B33">
        <w:t>s</w:t>
      </w:r>
      <w:r w:rsidR="00DB12CB">
        <w:t xml:space="preserve"> Coordonnateur</w:t>
      </w:r>
      <w:r w:rsidR="00407B33">
        <w:t>s</w:t>
      </w:r>
      <w:r w:rsidR="00DB12CB">
        <w:t xml:space="preserve"> : </w:t>
      </w:r>
    </w:p>
    <w:p w:rsidR="001C5A65" w:rsidRDefault="001C5A65" w:rsidP="009E521A">
      <w:pPr>
        <w:shd w:val="clear" w:color="auto" w:fill="C5E0B3" w:themeFill="accent6" w:themeFillTint="66"/>
        <w:spacing w:after="0" w:line="240" w:lineRule="auto"/>
        <w:jc w:val="both"/>
      </w:pPr>
    </w:p>
    <w:p w:rsidR="009E521A" w:rsidRPr="009E521A" w:rsidRDefault="00E94E6D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u w:val="single"/>
        </w:rPr>
      </w:pPr>
      <w:r w:rsidRPr="009E521A">
        <w:rPr>
          <w:u w:val="single"/>
        </w:rPr>
        <w:t xml:space="preserve">Pour le secteur du Doubs Central : </w:t>
      </w:r>
    </w:p>
    <w:p w:rsidR="003F57FD" w:rsidRDefault="00DB12CB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rStyle w:val="Lienhypertexte"/>
          <w:rFonts w:cstheme="minorHAnsi"/>
        </w:rPr>
      </w:pPr>
      <w:r w:rsidRPr="003F57FD">
        <w:rPr>
          <w:rFonts w:cstheme="minorHAnsi"/>
          <w:b/>
        </w:rPr>
        <w:t>Gilles </w:t>
      </w:r>
      <w:r w:rsidR="003E4D08" w:rsidRPr="003F57FD">
        <w:rPr>
          <w:rFonts w:cstheme="minorHAnsi"/>
          <w:b/>
        </w:rPr>
        <w:t>ROLLAND</w:t>
      </w:r>
      <w:r w:rsidR="003E4D08" w:rsidRPr="003F57FD">
        <w:rPr>
          <w:rFonts w:cstheme="minorHAnsi"/>
        </w:rPr>
        <w:t xml:space="preserve"> </w:t>
      </w:r>
      <w:r w:rsidR="003F57FD" w:rsidRPr="003F57FD">
        <w:rPr>
          <w:rFonts w:cstheme="minorHAnsi"/>
        </w:rPr>
        <w:t xml:space="preserve"> </w:t>
      </w:r>
      <w:r w:rsidR="003F57FD" w:rsidRPr="003F57FD">
        <w:rPr>
          <w:rStyle w:val="texte"/>
          <w:b/>
          <w:bCs/>
          <w:sz w:val="20"/>
          <w:szCs w:val="20"/>
        </w:rPr>
        <w:t>07 88 29 99 40</w:t>
      </w:r>
      <w:r w:rsidR="003F57FD">
        <w:rPr>
          <w:rStyle w:val="texte"/>
          <w:rFonts w:asciiTheme="minorHAnsi" w:hAnsiTheme="minorHAnsi" w:cstheme="minorBidi"/>
        </w:rPr>
        <w:t xml:space="preserve"> </w:t>
      </w:r>
      <w:hyperlink r:id="rId11" w:history="1">
        <w:r w:rsidR="003F57FD" w:rsidRPr="003F57FD">
          <w:rPr>
            <w:rStyle w:val="Lienhypertexte"/>
            <w:rFonts w:cstheme="minorHAnsi"/>
          </w:rPr>
          <w:t>g.rolland@ch-novillars.fr</w:t>
        </w:r>
      </w:hyperlink>
    </w:p>
    <w:p w:rsidR="009E521A" w:rsidRDefault="009E521A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rStyle w:val="Lienhypertexte"/>
          <w:rFonts w:cstheme="minorHAnsi"/>
        </w:rPr>
      </w:pPr>
    </w:p>
    <w:p w:rsidR="009E521A" w:rsidRPr="009E521A" w:rsidRDefault="009E521A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u w:val="single"/>
        </w:rPr>
      </w:pPr>
      <w:r w:rsidRPr="009E521A">
        <w:rPr>
          <w:u w:val="single"/>
        </w:rPr>
        <w:t xml:space="preserve">Pour le secteur du Premier Plateau et Hauts Doubs : </w:t>
      </w:r>
    </w:p>
    <w:p w:rsidR="009E521A" w:rsidRDefault="009E521A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Axelle BOURGEOIS</w:t>
      </w:r>
      <w:r w:rsidRPr="003F57FD">
        <w:rPr>
          <w:rStyle w:val="texte"/>
          <w:b/>
          <w:bCs/>
          <w:sz w:val="20"/>
          <w:szCs w:val="20"/>
        </w:rPr>
        <w:t xml:space="preserve"> </w:t>
      </w:r>
      <w:bookmarkStart w:id="0" w:name="_GoBack"/>
      <w:bookmarkEnd w:id="0"/>
      <w:r w:rsidR="0009216D">
        <w:rPr>
          <w:rFonts w:cstheme="minorHAnsi"/>
        </w:rPr>
        <w:fldChar w:fldCharType="begin"/>
      </w:r>
      <w:r w:rsidR="0009216D">
        <w:rPr>
          <w:rFonts w:cstheme="minorHAnsi"/>
        </w:rPr>
        <w:instrText xml:space="preserve"> HYPERLINK "mailto:</w:instrText>
      </w:r>
      <w:r w:rsidR="0009216D" w:rsidRPr="0009216D">
        <w:rPr>
          <w:rFonts w:cstheme="minorHAnsi"/>
        </w:rPr>
        <w:instrText>axelle.bourgeois@ch-novillars.fr</w:instrText>
      </w:r>
      <w:r w:rsidR="0009216D">
        <w:rPr>
          <w:rFonts w:cstheme="minorHAnsi"/>
        </w:rPr>
        <w:instrText xml:space="preserve">" </w:instrText>
      </w:r>
      <w:r w:rsidR="0009216D">
        <w:rPr>
          <w:rFonts w:cstheme="minorHAnsi"/>
        </w:rPr>
        <w:fldChar w:fldCharType="separate"/>
      </w:r>
      <w:r w:rsidR="0009216D" w:rsidRPr="001271E4">
        <w:rPr>
          <w:rStyle w:val="Lienhypertexte"/>
          <w:rFonts w:cstheme="minorHAnsi"/>
        </w:rPr>
        <w:t>axelle.bourgeois@ch-novillars.fr</w:t>
      </w:r>
      <w:r w:rsidR="0009216D">
        <w:rPr>
          <w:rFonts w:cstheme="minorHAnsi"/>
        </w:rPr>
        <w:fldChar w:fldCharType="end"/>
      </w:r>
    </w:p>
    <w:p w:rsidR="009E521A" w:rsidRDefault="009E521A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rStyle w:val="Lienhypertexte"/>
          <w:rFonts w:cstheme="minorHAnsi"/>
        </w:rPr>
      </w:pPr>
    </w:p>
    <w:p w:rsidR="009E521A" w:rsidRPr="009E521A" w:rsidRDefault="00407B33" w:rsidP="009E521A">
      <w:pPr>
        <w:shd w:val="clear" w:color="auto" w:fill="C5E0B3" w:themeFill="accent6" w:themeFillTint="66"/>
        <w:tabs>
          <w:tab w:val="left" w:pos="1810"/>
        </w:tabs>
        <w:spacing w:after="0" w:line="240" w:lineRule="auto"/>
        <w:jc w:val="both"/>
        <w:rPr>
          <w:u w:val="single"/>
        </w:rPr>
      </w:pPr>
      <w:r w:rsidRPr="009E521A">
        <w:rPr>
          <w:u w:val="single"/>
        </w:rPr>
        <w:t xml:space="preserve">Pour le secteur du Grand </w:t>
      </w:r>
      <w:r w:rsidR="009E521A" w:rsidRPr="009E521A">
        <w:rPr>
          <w:u w:val="single"/>
        </w:rPr>
        <w:t>Besançon :</w:t>
      </w:r>
      <w:r w:rsidRPr="009E521A">
        <w:rPr>
          <w:u w:val="single"/>
        </w:rPr>
        <w:t xml:space="preserve"> </w:t>
      </w:r>
    </w:p>
    <w:p w:rsidR="00407B33" w:rsidRPr="009E521A" w:rsidRDefault="001C5A65" w:rsidP="001C5A65">
      <w:pPr>
        <w:shd w:val="clear" w:color="auto" w:fill="C5E0B3" w:themeFill="accent6" w:themeFillTint="66"/>
        <w:tabs>
          <w:tab w:val="left" w:pos="1810"/>
        </w:tabs>
        <w:spacing w:after="0" w:line="240" w:lineRule="auto"/>
        <w:rPr>
          <w:color w:val="2E74B5" w:themeColor="accent1" w:themeShade="BF"/>
          <w:u w:val="single"/>
        </w:rPr>
      </w:pPr>
      <w:r>
        <w:rPr>
          <w:b/>
        </w:rPr>
        <w:t>Sylvia PANTALEO</w:t>
      </w:r>
      <w:r w:rsidR="009E521A">
        <w:rPr>
          <w:b/>
        </w:rPr>
        <w:t xml:space="preserve"> </w:t>
      </w:r>
      <w:r w:rsidR="00FE7342">
        <w:rPr>
          <w:color w:val="2E74B5" w:themeColor="accent1" w:themeShade="BF"/>
          <w:u w:val="single"/>
        </w:rPr>
        <w:t>clsm</w:t>
      </w:r>
      <w:r w:rsidR="009E521A" w:rsidRPr="009E521A">
        <w:rPr>
          <w:color w:val="2E74B5" w:themeColor="accent1" w:themeShade="BF"/>
          <w:u w:val="single"/>
        </w:rPr>
        <w:t>@besancon.fr</w:t>
      </w:r>
    </w:p>
    <w:p w:rsidR="003A12E6" w:rsidRPr="00407B33" w:rsidRDefault="00DB12CB" w:rsidP="009E521A">
      <w:pPr>
        <w:shd w:val="clear" w:color="auto" w:fill="C5E0B3" w:themeFill="accent6" w:themeFillTint="66"/>
        <w:spacing w:after="0" w:line="240" w:lineRule="auto"/>
        <w:jc w:val="center"/>
      </w:pPr>
      <w:r>
        <w:t>---------</w:t>
      </w:r>
    </w:p>
    <w:sectPr w:rsidR="003A12E6" w:rsidRPr="00407B33" w:rsidSect="00407B33">
      <w:pgSz w:w="8391" w:h="11906" w:code="11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2718"/>
    <w:multiLevelType w:val="hybridMultilevel"/>
    <w:tmpl w:val="11C03E94"/>
    <w:lvl w:ilvl="0" w:tplc="97984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C54"/>
    <w:multiLevelType w:val="hybridMultilevel"/>
    <w:tmpl w:val="A46424EA"/>
    <w:lvl w:ilvl="0" w:tplc="2AAEB2A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19927AF"/>
    <w:multiLevelType w:val="hybridMultilevel"/>
    <w:tmpl w:val="F8FEB648"/>
    <w:lvl w:ilvl="0" w:tplc="C55A9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DD"/>
    <w:rsid w:val="0007446E"/>
    <w:rsid w:val="0009216D"/>
    <w:rsid w:val="001C16A3"/>
    <w:rsid w:val="001C5A65"/>
    <w:rsid w:val="002914DE"/>
    <w:rsid w:val="00334C1F"/>
    <w:rsid w:val="00397F43"/>
    <w:rsid w:val="003A12E6"/>
    <w:rsid w:val="003A5B5F"/>
    <w:rsid w:val="003E4D08"/>
    <w:rsid w:val="003F57FD"/>
    <w:rsid w:val="00407B33"/>
    <w:rsid w:val="00495AAF"/>
    <w:rsid w:val="00597F0F"/>
    <w:rsid w:val="005C29BE"/>
    <w:rsid w:val="00695EE6"/>
    <w:rsid w:val="007318A1"/>
    <w:rsid w:val="00763A19"/>
    <w:rsid w:val="007C0342"/>
    <w:rsid w:val="007E540A"/>
    <w:rsid w:val="008074AA"/>
    <w:rsid w:val="0083391C"/>
    <w:rsid w:val="00916DAC"/>
    <w:rsid w:val="009372D9"/>
    <w:rsid w:val="00960248"/>
    <w:rsid w:val="009D3713"/>
    <w:rsid w:val="009E521A"/>
    <w:rsid w:val="00B71144"/>
    <w:rsid w:val="00B87951"/>
    <w:rsid w:val="00C134F4"/>
    <w:rsid w:val="00CC5AED"/>
    <w:rsid w:val="00D117C8"/>
    <w:rsid w:val="00D46610"/>
    <w:rsid w:val="00D66E84"/>
    <w:rsid w:val="00D76B20"/>
    <w:rsid w:val="00D9377B"/>
    <w:rsid w:val="00DB12CB"/>
    <w:rsid w:val="00DD5A43"/>
    <w:rsid w:val="00DF71C5"/>
    <w:rsid w:val="00E218AE"/>
    <w:rsid w:val="00E5446F"/>
    <w:rsid w:val="00E94E6D"/>
    <w:rsid w:val="00EA2930"/>
    <w:rsid w:val="00EF2DDD"/>
    <w:rsid w:val="00EF4670"/>
    <w:rsid w:val="00F14EC1"/>
    <w:rsid w:val="00FD1346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6FAA"/>
  <w15:chartTrackingRefBased/>
  <w15:docId w15:val="{71D85291-7835-4C1C-98CD-40FF03C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9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7FD"/>
    <w:rPr>
      <w:color w:val="0563C1" w:themeColor="hyperlink"/>
      <w:u w:val="single"/>
    </w:rPr>
  </w:style>
  <w:style w:type="character" w:customStyle="1" w:styleId="texte">
    <w:name w:val="texte"/>
    <w:basedOn w:val="Policepardfaut"/>
    <w:rsid w:val="003F57F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.rolland@ch-novillar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4AF4A.625511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18C7-426E-4F3D-975B-B241520F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ROLLAND</dc:creator>
  <cp:keywords/>
  <dc:description/>
  <cp:lastModifiedBy>laetitia.grosperrin</cp:lastModifiedBy>
  <cp:revision>7</cp:revision>
  <cp:lastPrinted>2020-08-12T09:29:00Z</cp:lastPrinted>
  <dcterms:created xsi:type="dcterms:W3CDTF">2020-07-17T11:31:00Z</dcterms:created>
  <dcterms:modified xsi:type="dcterms:W3CDTF">2020-08-27T07:30:00Z</dcterms:modified>
</cp:coreProperties>
</file>